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A470B" w14:textId="77777777" w:rsidR="00980CCD" w:rsidRPr="002F65BA" w:rsidRDefault="00980CCD" w:rsidP="00980CCD">
      <w:pPr>
        <w:spacing w:after="240" w:line="480" w:lineRule="auto"/>
        <w:jc w:val="both"/>
        <w:rPr>
          <w:b/>
          <w:bCs/>
        </w:rPr>
      </w:pPr>
      <w:r w:rsidRPr="002F65BA">
        <w:rPr>
          <w:b/>
          <w:bCs/>
        </w:rPr>
        <w:t>Supplemental Information</w:t>
      </w:r>
    </w:p>
    <w:p w14:paraId="71747DA2" w14:textId="77777777" w:rsidR="00980CCD" w:rsidRPr="002F65BA" w:rsidRDefault="00980CCD" w:rsidP="00980CCD">
      <w:pPr>
        <w:spacing w:after="240" w:line="480" w:lineRule="auto"/>
        <w:jc w:val="both"/>
      </w:pPr>
      <w:r w:rsidRPr="00980CCD">
        <w:rPr>
          <w:b/>
          <w:bCs/>
        </w:rPr>
        <w:t>Table SI-1</w:t>
      </w:r>
      <w:r w:rsidRPr="002F65BA">
        <w:t xml:space="preserve">. Benthic and pelagic end member </w:t>
      </w:r>
      <w:r w:rsidRPr="002478BF">
        <w:rPr>
          <w:rFonts w:eastAsia="Calibri"/>
          <w:i/>
          <w:iCs/>
          <w:color w:val="000000"/>
          <w:kern w:val="24"/>
        </w:rPr>
        <w:t>δ</w:t>
      </w:r>
      <w:r w:rsidRPr="002F65BA">
        <w:rPr>
          <w:rFonts w:eastAsia="Calibri"/>
          <w:color w:val="000000"/>
          <w:kern w:val="24"/>
          <w:position w:val="8"/>
          <w:vertAlign w:val="superscript"/>
        </w:rPr>
        <w:t>13</w:t>
      </w:r>
      <w:r w:rsidRPr="002F65BA">
        <w:rPr>
          <w:rFonts w:eastAsia="Calibri"/>
          <w:color w:val="000000"/>
          <w:kern w:val="24"/>
        </w:rPr>
        <w:t xml:space="preserve">C, mean fish </w:t>
      </w:r>
      <w:r w:rsidRPr="002478BF">
        <w:rPr>
          <w:rFonts w:eastAsia="Calibri"/>
          <w:i/>
          <w:iCs/>
          <w:color w:val="000000"/>
          <w:kern w:val="24"/>
        </w:rPr>
        <w:t>δ</w:t>
      </w:r>
      <w:r w:rsidRPr="002F65BA">
        <w:rPr>
          <w:rFonts w:eastAsia="Calibri"/>
          <w:color w:val="000000"/>
          <w:kern w:val="24"/>
          <w:position w:val="8"/>
          <w:vertAlign w:val="superscript"/>
        </w:rPr>
        <w:t>13</w:t>
      </w:r>
      <w:r w:rsidRPr="002F65BA">
        <w:rPr>
          <w:rFonts w:eastAsia="Calibri"/>
          <w:color w:val="000000"/>
          <w:kern w:val="24"/>
        </w:rPr>
        <w:t>C, and estimated mean benthic reliance for each lake.</w:t>
      </w:r>
      <w:r>
        <w:rPr>
          <w:rFonts w:eastAsia="Calibri"/>
          <w:color w:val="000000"/>
          <w:kern w:val="24"/>
        </w:rPr>
        <w:t xml:space="preserve"> Unless otherwise noted, pooled zooplankton samples were used as the pelagic end member. For lakes with no standard deviation (SD), only one fish was caught.</w:t>
      </w:r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800"/>
        <w:gridCol w:w="1530"/>
        <w:gridCol w:w="1530"/>
        <w:gridCol w:w="1350"/>
        <w:gridCol w:w="1710"/>
      </w:tblGrid>
      <w:tr w:rsidR="00980CCD" w:rsidRPr="00D36D9A" w14:paraId="21E56D05" w14:textId="77777777" w:rsidTr="00C10D50">
        <w:trPr>
          <w:trHeight w:val="42"/>
        </w:trPr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4ADCF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b/>
                <w:bCs/>
                <w:color w:val="000000"/>
                <w:kern w:val="24"/>
                <w:sz w:val="22"/>
                <w:szCs w:val="22"/>
              </w:rPr>
              <w:t>Lake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C9EB6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b/>
                <w:bCs/>
                <w:color w:val="000000"/>
                <w:kern w:val="24"/>
                <w:sz w:val="22"/>
                <w:szCs w:val="22"/>
              </w:rPr>
              <w:t>Benthic end member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19504" w14:textId="77777777" w:rsidR="00980CCD" w:rsidRPr="00BC38F3" w:rsidRDefault="00980CCD" w:rsidP="00C10D50">
            <w:pPr>
              <w:rPr>
                <w:color w:val="000000" w:themeColor="text1"/>
              </w:rPr>
            </w:pPr>
            <w:r w:rsidRPr="00BC38F3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Benthic end member </w:t>
            </w:r>
            <w:r w:rsidRPr="002478BF">
              <w:rPr>
                <w:rFonts w:eastAsia="Calibri"/>
                <w:b/>
                <w:bCs/>
                <w:i/>
                <w:iCs/>
                <w:color w:val="000000" w:themeColor="text1"/>
                <w:kern w:val="24"/>
                <w:sz w:val="22"/>
                <w:szCs w:val="22"/>
              </w:rPr>
              <w:t>δ</w:t>
            </w:r>
            <w:r w:rsidRPr="00BC38F3">
              <w:rPr>
                <w:rFonts w:eastAsia="Calibri"/>
                <w:b/>
                <w:bCs/>
                <w:color w:val="000000" w:themeColor="text1"/>
                <w:kern w:val="24"/>
                <w:position w:val="8"/>
                <w:sz w:val="22"/>
                <w:szCs w:val="22"/>
                <w:vertAlign w:val="superscript"/>
              </w:rPr>
              <w:t>13</w:t>
            </w:r>
            <w:r w:rsidRPr="00BC38F3">
              <w:rPr>
                <w:rFonts w:eastAsia="Calibri"/>
                <w:b/>
                <w:bCs/>
                <w:color w:val="000000" w:themeColor="text1"/>
                <w:kern w:val="24"/>
                <w:sz w:val="22"/>
                <w:szCs w:val="22"/>
              </w:rPr>
              <w:t>C</w:t>
            </w:r>
            <w:r w:rsidRPr="00BC38F3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(‰)</w:t>
            </w:r>
          </w:p>
          <w:p w14:paraId="5FAE9FAE" w14:textId="77777777" w:rsidR="00980CCD" w:rsidRPr="00BC38F3" w:rsidRDefault="00980CCD" w:rsidP="00C10D5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0BF43" w14:textId="77777777" w:rsidR="00980CCD" w:rsidRPr="00BC38F3" w:rsidRDefault="00980CCD" w:rsidP="00C10D50">
            <w:pPr>
              <w:rPr>
                <w:color w:val="000000" w:themeColor="text1"/>
              </w:rPr>
            </w:pPr>
            <w:r w:rsidRPr="00BC38F3">
              <w:rPr>
                <w:b/>
                <w:bCs/>
                <w:color w:val="000000" w:themeColor="text1"/>
                <w:kern w:val="24"/>
                <w:sz w:val="22"/>
                <w:szCs w:val="22"/>
              </w:rPr>
              <w:t xml:space="preserve">Pelagic end member </w:t>
            </w:r>
            <w:r w:rsidRPr="002478BF">
              <w:rPr>
                <w:rFonts w:eastAsia="Calibri"/>
                <w:b/>
                <w:bCs/>
                <w:i/>
                <w:iCs/>
                <w:color w:val="000000" w:themeColor="text1"/>
                <w:kern w:val="24"/>
                <w:sz w:val="22"/>
                <w:szCs w:val="22"/>
              </w:rPr>
              <w:t>δ</w:t>
            </w:r>
            <w:r w:rsidRPr="00BC38F3">
              <w:rPr>
                <w:rFonts w:eastAsia="Calibri"/>
                <w:b/>
                <w:bCs/>
                <w:color w:val="000000" w:themeColor="text1"/>
                <w:kern w:val="24"/>
                <w:position w:val="8"/>
                <w:sz w:val="22"/>
                <w:szCs w:val="22"/>
                <w:vertAlign w:val="superscript"/>
              </w:rPr>
              <w:t>13</w:t>
            </w:r>
            <w:r w:rsidRPr="00BC38F3">
              <w:rPr>
                <w:rFonts w:eastAsia="Calibri"/>
                <w:b/>
                <w:bCs/>
                <w:color w:val="000000" w:themeColor="text1"/>
                <w:kern w:val="24"/>
                <w:sz w:val="22"/>
                <w:szCs w:val="22"/>
              </w:rPr>
              <w:t>C</w:t>
            </w:r>
            <w:r w:rsidRPr="00BC38F3">
              <w:rPr>
                <w:rFonts w:ascii="Arial" w:hAnsi="Arial" w:cs="Arial"/>
                <w:color w:val="000000" w:themeColor="text1"/>
                <w:sz w:val="21"/>
                <w:szCs w:val="21"/>
                <w:shd w:val="clear" w:color="auto" w:fill="FFFFFF"/>
              </w:rPr>
              <w:t xml:space="preserve"> (‰)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6E263A24" w14:textId="77777777" w:rsidR="00980CCD" w:rsidRDefault="00980CCD" w:rsidP="00C10D50">
            <w:pPr>
              <w:rPr>
                <w:b/>
                <w:bCs/>
                <w:color w:val="000000"/>
                <w:kern w:val="24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Mean fish </w:t>
            </w:r>
            <w:r w:rsidRPr="002478BF">
              <w:rPr>
                <w:rFonts w:eastAsia="Calibri"/>
                <w:b/>
                <w:bCs/>
                <w:i/>
                <w:iCs/>
                <w:color w:val="000000"/>
                <w:kern w:val="24"/>
                <w:sz w:val="22"/>
                <w:szCs w:val="22"/>
              </w:rPr>
              <w:t>δ</w:t>
            </w:r>
            <w:r w:rsidRPr="00EC0CE8">
              <w:rPr>
                <w:rFonts w:eastAsia="Calibri"/>
                <w:b/>
                <w:bCs/>
                <w:color w:val="000000"/>
                <w:kern w:val="24"/>
                <w:position w:val="8"/>
                <w:sz w:val="22"/>
                <w:szCs w:val="22"/>
                <w:vertAlign w:val="superscript"/>
              </w:rPr>
              <w:t>13</w:t>
            </w:r>
            <w:r w:rsidRPr="00EC0CE8">
              <w:rPr>
                <w:rFonts w:eastAsia="Calibri"/>
                <w:b/>
                <w:bCs/>
                <w:color w:val="000000"/>
                <w:kern w:val="24"/>
                <w:sz w:val="22"/>
                <w:szCs w:val="22"/>
              </w:rPr>
              <w:t>C (</w:t>
            </w:r>
            <w:r w:rsidRPr="00EC0CE8">
              <w:rPr>
                <w:b/>
                <w:bCs/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b/>
                <w:bCs/>
                <w:color w:val="000000"/>
                <w:kern w:val="24"/>
                <w:sz w:val="22"/>
                <w:szCs w:val="22"/>
              </w:rPr>
              <w:t xml:space="preserve"> </w:t>
            </w:r>
            <w:r w:rsidRPr="00EC0CE8">
              <w:rPr>
                <w:b/>
                <w:bCs/>
                <w:color w:val="000000"/>
                <w:kern w:val="24"/>
                <w:sz w:val="22"/>
                <w:szCs w:val="22"/>
              </w:rPr>
              <w:t>SD)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4B9157E3" w14:textId="77777777" w:rsidR="00980CCD" w:rsidRPr="00D36D9A" w:rsidRDefault="00980CCD" w:rsidP="00C10D50">
            <w:pPr>
              <w:rPr>
                <w:b/>
                <w:bCs/>
                <w:color w:val="000000"/>
                <w:kern w:val="24"/>
                <w:sz w:val="22"/>
                <w:szCs w:val="22"/>
              </w:rPr>
            </w:pPr>
            <w:r>
              <w:rPr>
                <w:b/>
                <w:bCs/>
                <w:color w:val="000000"/>
                <w:kern w:val="24"/>
                <w:sz w:val="22"/>
                <w:szCs w:val="22"/>
              </w:rPr>
              <w:t>Mean % benthic reliance (± SD)</w:t>
            </w:r>
          </w:p>
        </w:tc>
      </w:tr>
      <w:tr w:rsidR="00980CCD" w:rsidRPr="00D36D9A" w14:paraId="07C859CB" w14:textId="77777777" w:rsidTr="00C10D50">
        <w:trPr>
          <w:trHeight w:val="197"/>
        </w:trPr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9940C37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L. Anderson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58B0C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Ephemeroptera</w:t>
            </w:r>
            <w:r w:rsidRPr="00D36D9A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kern w:val="24"/>
                <w:sz w:val="22"/>
                <w:szCs w:val="22"/>
              </w:rPr>
              <w:t>B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aetidae</w:t>
            </w:r>
            <w:proofErr w:type="spellEnd"/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428F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-24.0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3A0BD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-31.0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14:paraId="11AA1774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-25.9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4.5)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14:paraId="455277BD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73.2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 38.7)</w:t>
            </w:r>
          </w:p>
        </w:tc>
      </w:tr>
      <w:tr w:rsidR="00980CCD" w:rsidRPr="00D36D9A" w14:paraId="6ED5CA16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2962D7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L. Deadwood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19E6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5EC00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-24.1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9B59AD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-25.5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CBF2A0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-23.6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3.1)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7D2FC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50.0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 70.7)</w:t>
            </w:r>
          </w:p>
        </w:tc>
      </w:tr>
      <w:tr w:rsidR="00980CCD" w:rsidRPr="00D36D9A" w14:paraId="18B7E5CD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B6A535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Gladys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C956D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D791F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-17.4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C8449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-33.6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BBF41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-19.4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0.7)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51F8B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88.1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4.5)</w:t>
            </w:r>
          </w:p>
        </w:tc>
      </w:tr>
      <w:tr w:rsidR="00980CCD" w:rsidRPr="00D36D9A" w14:paraId="62F18799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F795D4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Grand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BD43B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9E30D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-18.0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8613C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-24.4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709D9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-19.9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4.5)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19582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60.4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56.0)</w:t>
            </w:r>
          </w:p>
        </w:tc>
      </w:tr>
      <w:tr w:rsidR="00980CCD" w:rsidRPr="00D36D9A" w14:paraId="783C19F5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EBDD95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U. Lena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A097A4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6216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-23.2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B65EB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-35.0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1F25B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-29.4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2.8)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03B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47.5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23.3)</w:t>
            </w:r>
          </w:p>
        </w:tc>
      </w:tr>
      <w:tr w:rsidR="00980CCD" w:rsidRPr="00D36D9A" w14:paraId="041F1E9D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BCB607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Louise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00548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Odonata</w:t>
            </w:r>
            <w:r w:rsidRPr="00D36D9A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kern w:val="24"/>
                <w:sz w:val="22"/>
                <w:szCs w:val="22"/>
              </w:rPr>
              <w:t>C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orduliidae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773BA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-23.1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1F4E8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-28.8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3A3F3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-28.8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2.0)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56922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33.6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>17.7)</w:t>
            </w:r>
          </w:p>
        </w:tc>
      </w:tr>
      <w:tr w:rsidR="00980CCD" w:rsidRPr="00D36D9A" w14:paraId="44816304" w14:textId="77777777" w:rsidTr="00C10D50">
        <w:trPr>
          <w:trHeight w:val="42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E617AC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LP-19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6E285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CFBA1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-25.9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E3E4F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-35.8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928FA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-30.1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3.5)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5D536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58.0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35.5)</w:t>
            </w:r>
          </w:p>
        </w:tc>
      </w:tr>
      <w:tr w:rsidR="00980CCD" w:rsidRPr="00D36D9A" w14:paraId="26BE203A" w14:textId="77777777" w:rsidTr="00C10D50">
        <w:trPr>
          <w:trHeight w:val="18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C06799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Lunch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31594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Diptera</w:t>
            </w:r>
            <w:r w:rsidRPr="00D36D9A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r>
              <w:rPr>
                <w:color w:val="000000"/>
                <w:kern w:val="24"/>
                <w:sz w:val="22"/>
                <w:szCs w:val="22"/>
              </w:rPr>
              <w:t>C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hironomidae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F7CB3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-17.8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F9FC4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-29.0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0F9A6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-19.4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3.2)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61345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83.0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25.8)</w:t>
            </w:r>
          </w:p>
        </w:tc>
      </w:tr>
      <w:tr w:rsidR="00980CCD" w:rsidRPr="00D36D9A" w14:paraId="72972551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6E71999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Monogram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DFC31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Ephemeroptera</w:t>
            </w:r>
            <w:r w:rsidRPr="00D36D9A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kern w:val="24"/>
                <w:sz w:val="22"/>
                <w:szCs w:val="22"/>
              </w:rPr>
              <w:t>B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aetidae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0B61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-20.0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5BB50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-36.7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FBFAE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-26.7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3.4)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96B52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59.9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20.0)</w:t>
            </w:r>
          </w:p>
        </w:tc>
      </w:tr>
      <w:tr w:rsidR="00980CCD" w:rsidRPr="00D36D9A" w14:paraId="7D6315FD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7F9049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Moose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EFDBC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8FE7F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-21.8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828E1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-36.0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F1F0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-25</w:t>
            </w:r>
            <w:r>
              <w:rPr>
                <w:color w:val="000000"/>
                <w:sz w:val="22"/>
                <w:szCs w:val="22"/>
              </w:rPr>
              <w:t xml:space="preserve">.0 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278DA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76.9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980CCD" w:rsidRPr="00D36D9A" w14:paraId="1EC5D760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4F8019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Palisades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21C38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161B7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-21.3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E8D5C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-30.1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1E122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-25.1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3.2)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69F9C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59.1(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32.7)</w:t>
            </w:r>
          </w:p>
        </w:tc>
      </w:tr>
      <w:tr w:rsidR="00980CCD" w:rsidRPr="00D36D9A" w14:paraId="4A60D092" w14:textId="77777777" w:rsidTr="00C10D50">
        <w:trPr>
          <w:trHeight w:val="197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E43E18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PJ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EDC63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Macrophyte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98840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-20.0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CC143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-27.3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F0227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-25.4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1.2)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271B3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25.8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16.2)</w:t>
            </w:r>
          </w:p>
        </w:tc>
      </w:tr>
      <w:tr w:rsidR="00980CCD" w:rsidRPr="00D36D9A" w14:paraId="21C89A52" w14:textId="77777777" w:rsidTr="00C10D50">
        <w:trPr>
          <w:trHeight w:val="62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2E442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Sauk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8B70D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 xml:space="preserve">Periphyton (on 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macrophyte</w:t>
            </w:r>
            <w:r>
              <w:rPr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33A5F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-17.5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347C0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-28.6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4402E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-20.5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0.3)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EFDBA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73.1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2.9)</w:t>
            </w:r>
          </w:p>
        </w:tc>
      </w:tr>
      <w:tr w:rsidR="00980CCD" w:rsidRPr="00D36D9A" w14:paraId="646CB323" w14:textId="77777777" w:rsidTr="00C10D50">
        <w:trPr>
          <w:trHeight w:val="62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D4F5C9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Snow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5EA20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Diptera</w:t>
            </w:r>
            <w:r w:rsidRPr="00D36D9A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r>
              <w:rPr>
                <w:color w:val="000000"/>
                <w:kern w:val="24"/>
                <w:sz w:val="22"/>
                <w:szCs w:val="22"/>
              </w:rPr>
              <w:t>C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hironomidae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399C1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-24.9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E4991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-32.0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93250" w14:textId="77777777" w:rsidR="00980CCD" w:rsidRPr="00EC0CE8" w:rsidRDefault="00980CCD" w:rsidP="00C10D50">
            <w:pPr>
              <w:rPr>
                <w:color w:val="000000"/>
                <w:sz w:val="22"/>
                <w:szCs w:val="22"/>
              </w:rPr>
            </w:pPr>
            <w:r w:rsidRPr="00EC0CE8">
              <w:rPr>
                <w:color w:val="000000"/>
                <w:sz w:val="22"/>
                <w:szCs w:val="22"/>
              </w:rPr>
              <w:t>-24.6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0.8)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C23F8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97.3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3.4)</w:t>
            </w:r>
          </w:p>
        </w:tc>
      </w:tr>
      <w:tr w:rsidR="00980CCD" w:rsidRPr="00D36D9A" w14:paraId="64AD0402" w14:textId="77777777" w:rsidTr="00C10D50">
        <w:trPr>
          <w:trHeight w:val="62"/>
        </w:trPr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2141F2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W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. Watson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BC0E6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P</w:t>
            </w:r>
            <w:r w:rsidRPr="00D36D9A">
              <w:rPr>
                <w:color w:val="000000"/>
                <w:kern w:val="24"/>
                <w:sz w:val="22"/>
                <w:szCs w:val="22"/>
              </w:rPr>
              <w:t>eriphyton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4052F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-23.7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79671" w14:textId="77777777" w:rsidR="00980CCD" w:rsidRPr="00D36D9A" w:rsidRDefault="00980CCD" w:rsidP="00C10D50">
            <w:pPr>
              <w:rPr>
                <w:rFonts w:ascii="Arial" w:hAnsi="Arial" w:cs="Arial"/>
                <w:sz w:val="22"/>
                <w:szCs w:val="22"/>
              </w:rPr>
            </w:pPr>
            <w:r w:rsidRPr="00D36D9A">
              <w:rPr>
                <w:color w:val="000000"/>
                <w:kern w:val="24"/>
                <w:sz w:val="22"/>
                <w:szCs w:val="22"/>
              </w:rPr>
              <w:t>-34.7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3335A00" w14:textId="77777777" w:rsidR="00980CCD" w:rsidRPr="004C1C30" w:rsidRDefault="00980CCD" w:rsidP="00C10D5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-28.8 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1.4)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64106985" w14:textId="77777777" w:rsidR="00980CCD" w:rsidRPr="004C1C30" w:rsidRDefault="00980CCD" w:rsidP="00C10D50">
            <w:pPr>
              <w:rPr>
                <w:color w:val="000000"/>
                <w:kern w:val="24"/>
                <w:sz w:val="22"/>
                <w:szCs w:val="22"/>
              </w:rPr>
            </w:pPr>
            <w:r w:rsidRPr="004C1C30">
              <w:rPr>
                <w:color w:val="000000"/>
                <w:sz w:val="22"/>
                <w:szCs w:val="22"/>
              </w:rPr>
              <w:t>52.8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C1C30">
              <w:rPr>
                <w:color w:val="000000"/>
                <w:sz w:val="22"/>
                <w:szCs w:val="22"/>
              </w:rPr>
              <w:t>(</w:t>
            </w:r>
            <w:r w:rsidRPr="004C1C30">
              <w:rPr>
                <w:color w:val="000000"/>
                <w:kern w:val="24"/>
                <w:sz w:val="22"/>
                <w:szCs w:val="22"/>
              </w:rPr>
              <w:t>±</w:t>
            </w:r>
            <w:r>
              <w:rPr>
                <w:color w:val="000000"/>
                <w:kern w:val="24"/>
                <w:sz w:val="22"/>
                <w:szCs w:val="22"/>
              </w:rPr>
              <w:t xml:space="preserve"> 13.1)</w:t>
            </w:r>
          </w:p>
        </w:tc>
      </w:tr>
    </w:tbl>
    <w:p w14:paraId="379257F7" w14:textId="4E5E85B5" w:rsidR="00FF2A48" w:rsidRDefault="00980CCD">
      <w:pPr>
        <w:rPr>
          <w:sz w:val="22"/>
          <w:szCs w:val="22"/>
        </w:rPr>
      </w:pPr>
      <w:r>
        <w:rPr>
          <w:sz w:val="22"/>
          <w:szCs w:val="22"/>
        </w:rPr>
        <w:t xml:space="preserve">* </w:t>
      </w:r>
      <w:r w:rsidRPr="005A637C">
        <w:rPr>
          <w:i/>
          <w:iCs/>
          <w:sz w:val="22"/>
          <w:szCs w:val="22"/>
        </w:rPr>
        <w:t>Bivalvia Sphaeriidae used as pelagic end member due to missing values for zooplankton</w:t>
      </w:r>
    </w:p>
    <w:p w14:paraId="1B3C55E9" w14:textId="74B8875C" w:rsidR="00980CCD" w:rsidRDefault="00980CCD">
      <w:pPr>
        <w:rPr>
          <w:sz w:val="22"/>
          <w:szCs w:val="22"/>
        </w:rPr>
      </w:pPr>
    </w:p>
    <w:p w14:paraId="072963B6" w14:textId="77777777" w:rsidR="004A6E95" w:rsidRDefault="004A6E95">
      <w:pPr>
        <w:rPr>
          <w:b/>
          <w:bCs/>
        </w:rPr>
      </w:pPr>
      <w:r>
        <w:rPr>
          <w:b/>
          <w:bCs/>
        </w:rPr>
        <w:br w:type="page"/>
      </w:r>
    </w:p>
    <w:p w14:paraId="30E312D7" w14:textId="77777777" w:rsidR="004A6E95" w:rsidRDefault="004A6E95" w:rsidP="004A6E95">
      <w:pPr>
        <w:spacing w:line="480" w:lineRule="auto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75A32647" wp14:editId="3EC8ED12">
            <wp:extent cx="5018314" cy="411544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37" cy="4132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2F696" w14:textId="4C25DFD7" w:rsidR="004A6E95" w:rsidRPr="002E4F47" w:rsidRDefault="004A6E95" w:rsidP="004A6E95">
      <w:pPr>
        <w:spacing w:line="480" w:lineRule="auto"/>
        <w:rPr>
          <w:bCs/>
        </w:rPr>
      </w:pPr>
      <w:r w:rsidRPr="002E4F47">
        <w:rPr>
          <w:b/>
        </w:rPr>
        <w:t xml:space="preserve">Figure S1. </w:t>
      </w:r>
      <w:r w:rsidRPr="002E4F47">
        <w:rPr>
          <w:bCs/>
        </w:rPr>
        <w:t>The effects of ethanol preservation on methylmercury concentrations (µg g</w:t>
      </w:r>
      <w:r w:rsidRPr="002E4F47">
        <w:rPr>
          <w:vertAlign w:val="superscript"/>
        </w:rPr>
        <w:t xml:space="preserve">-1 </w:t>
      </w:r>
      <w:r w:rsidRPr="002E4F47">
        <w:t xml:space="preserve">dry </w:t>
      </w:r>
      <w:r w:rsidR="008760F1">
        <w:t>mass</w:t>
      </w:r>
      <w:r w:rsidRPr="002E4F47">
        <w:t>)</w:t>
      </w:r>
      <w:r w:rsidRPr="002E4F47">
        <w:rPr>
          <w:bCs/>
        </w:rPr>
        <w:t xml:space="preserve"> in dragonfly larvae across 180 days. Letters denote significant differences between preservation time lengths.</w:t>
      </w:r>
    </w:p>
    <w:p w14:paraId="731ABE8B" w14:textId="5450001E" w:rsidR="004A6E95" w:rsidRDefault="004A6E95">
      <w:r>
        <w:br w:type="page"/>
      </w:r>
    </w:p>
    <w:p w14:paraId="1C216E52" w14:textId="25541645" w:rsidR="004A6E95" w:rsidRDefault="004A6E95" w:rsidP="004A6E95">
      <w:pPr>
        <w:spacing w:line="480" w:lineRule="auto"/>
      </w:pPr>
      <w:r>
        <w:rPr>
          <w:noProof/>
        </w:rPr>
        <w:lastRenderedPageBreak/>
        <w:drawing>
          <wp:inline distT="0" distB="0" distL="0" distR="0" wp14:anchorId="25E72D09" wp14:editId="083151C4">
            <wp:extent cx="4572000" cy="4572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CC378" w14:textId="384CEA22" w:rsidR="004A6E95" w:rsidRDefault="004A6E95" w:rsidP="004A6E95">
      <w:pPr>
        <w:spacing w:line="480" w:lineRule="auto"/>
      </w:pPr>
      <w:r w:rsidRPr="002E4F47">
        <w:rPr>
          <w:b/>
          <w:bCs/>
        </w:rPr>
        <w:t xml:space="preserve">Figure S2. </w:t>
      </w:r>
      <w:r w:rsidRPr="002E4F47">
        <w:t>Relationship between nearshore (25% scaled buffer) percent tree cover and 5-year mean annual precipitation (Precipitation = 3529 - 16.5 x Tree cover; residual SE = 623.7).</w:t>
      </w:r>
    </w:p>
    <w:p w14:paraId="4BE91F2A" w14:textId="77777777" w:rsidR="00BE3C94" w:rsidRDefault="00BE3C94" w:rsidP="00BE3C94">
      <w:pPr>
        <w:spacing w:line="480" w:lineRule="auto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1EDCBF5A" wp14:editId="15A5A515">
            <wp:extent cx="3891280" cy="2547257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70" b="3098"/>
                    <a:stretch/>
                  </pic:blipFill>
                  <pic:spPr bwMode="auto">
                    <a:xfrm>
                      <a:off x="0" y="0"/>
                      <a:ext cx="3938086" cy="2577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0EBAD1C0" wp14:editId="300D724A">
            <wp:extent cx="3886763" cy="2612572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64" b="2654"/>
                    <a:stretch/>
                  </pic:blipFill>
                  <pic:spPr bwMode="auto">
                    <a:xfrm>
                      <a:off x="0" y="0"/>
                      <a:ext cx="3897991" cy="26201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drawing>
          <wp:inline distT="0" distB="0" distL="0" distR="0" wp14:anchorId="0EE65BED" wp14:editId="36613AD0">
            <wp:extent cx="3896360" cy="2579914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96" b="2924"/>
                    <a:stretch/>
                  </pic:blipFill>
                  <pic:spPr bwMode="auto">
                    <a:xfrm>
                      <a:off x="0" y="0"/>
                      <a:ext cx="3918024" cy="2594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5D6446" w14:textId="3ECD8C75" w:rsidR="00BE3C94" w:rsidRPr="002E4F47" w:rsidRDefault="00BE3C94" w:rsidP="00BE3C94">
      <w:pPr>
        <w:spacing w:line="480" w:lineRule="auto"/>
      </w:pPr>
      <w:r w:rsidRPr="002E4F47">
        <w:rPr>
          <w:b/>
          <w:bCs/>
        </w:rPr>
        <w:lastRenderedPageBreak/>
        <w:t>Figure S</w:t>
      </w:r>
      <w:r>
        <w:rPr>
          <w:b/>
          <w:bCs/>
        </w:rPr>
        <w:t>3</w:t>
      </w:r>
      <w:r w:rsidRPr="002E4F47">
        <w:rPr>
          <w:b/>
          <w:bCs/>
        </w:rPr>
        <w:t xml:space="preserve">. </w:t>
      </w:r>
      <w:r w:rsidRPr="002E4F47">
        <w:t xml:space="preserve">Lakes with evidence of deep chlorophyll maxima. </w:t>
      </w:r>
      <w:r>
        <w:t>Orange lines indicate temperature (deg C), while blue lines indicate dissolved oxygen (mg L</w:t>
      </w:r>
      <w:r>
        <w:rPr>
          <w:vertAlign w:val="superscript"/>
        </w:rPr>
        <w:t>-1</w:t>
      </w:r>
      <w:r>
        <w:t xml:space="preserve">). (a) </w:t>
      </w:r>
      <w:r w:rsidRPr="002E4F47">
        <w:t xml:space="preserve">Upper Lena Lake (Olympic National Park) was sampled on 8 September 2015, </w:t>
      </w:r>
      <w:r>
        <w:t xml:space="preserve">(b) </w:t>
      </w:r>
      <w:r w:rsidRPr="002E4F47">
        <w:t xml:space="preserve">LP-19 (Rainier National Park) was sampled on 27 August 2015, and </w:t>
      </w:r>
      <w:r>
        <w:t xml:space="preserve">(c) </w:t>
      </w:r>
      <w:r w:rsidRPr="002E4F47">
        <w:t>Louise Lake (Rainier National Park) was sampled on 24 August 2015.</w:t>
      </w:r>
    </w:p>
    <w:p w14:paraId="58B3BEDD" w14:textId="48A6838E" w:rsidR="00176ADD" w:rsidRDefault="00176ADD">
      <w:r>
        <w:br w:type="page"/>
      </w:r>
    </w:p>
    <w:p w14:paraId="3711C7F0" w14:textId="77777777" w:rsidR="004A6E95" w:rsidRDefault="004A6E95" w:rsidP="004A6E95">
      <w:pPr>
        <w:spacing w:line="480" w:lineRule="auto"/>
      </w:pPr>
    </w:p>
    <w:p w14:paraId="3375390C" w14:textId="0D73A81D" w:rsidR="0005374A" w:rsidRDefault="00AC4028" w:rsidP="004A6E95">
      <w:pPr>
        <w:spacing w:line="480" w:lineRule="auto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9051F1A" wp14:editId="0889B20D">
            <wp:extent cx="4572000" cy="3657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E1030" w14:textId="1096FBC2" w:rsidR="004A6E95" w:rsidRPr="002E4F47" w:rsidRDefault="004A6E95" w:rsidP="004A6E95">
      <w:pPr>
        <w:spacing w:line="480" w:lineRule="auto"/>
      </w:pPr>
      <w:r w:rsidRPr="002E4F47">
        <w:rPr>
          <w:b/>
          <w:bCs/>
        </w:rPr>
        <w:t>Figure S</w:t>
      </w:r>
      <w:r w:rsidR="00BE3C94">
        <w:rPr>
          <w:b/>
          <w:bCs/>
        </w:rPr>
        <w:t>4</w:t>
      </w:r>
      <w:r w:rsidRPr="002E4F47">
        <w:rPr>
          <w:b/>
          <w:bCs/>
        </w:rPr>
        <w:t xml:space="preserve">. </w:t>
      </w:r>
      <w:r w:rsidRPr="002E4F47">
        <w:t xml:space="preserve">Mean mercury concentrations (ln-transformed, wet </w:t>
      </w:r>
      <w:r w:rsidR="008760F1">
        <w:t>mass</w:t>
      </w:r>
      <w:r w:rsidRPr="002E4F47">
        <w:t>) in Cutthroat (</w:t>
      </w:r>
      <w:r w:rsidRPr="002E4F47">
        <w:rPr>
          <w:i/>
          <w:iCs/>
        </w:rPr>
        <w:t>n</w:t>
      </w:r>
      <w:r w:rsidRPr="002E4F47">
        <w:t>=17), Eastern Brook (</w:t>
      </w:r>
      <w:r w:rsidRPr="002E4F47">
        <w:rPr>
          <w:i/>
          <w:iCs/>
        </w:rPr>
        <w:t>n</w:t>
      </w:r>
      <w:r w:rsidRPr="002E4F47">
        <w:t>=38), and Rainbow Trout (</w:t>
      </w:r>
      <w:r w:rsidRPr="002E4F47">
        <w:rPr>
          <w:i/>
          <w:iCs/>
        </w:rPr>
        <w:t>n</w:t>
      </w:r>
      <w:r w:rsidRPr="002E4F47">
        <w:t xml:space="preserve">=46), from lakes (points) in each park compared to consumption thresholds (which are listed in wet </w:t>
      </w:r>
      <w:r w:rsidR="008760F1">
        <w:t>mass</w:t>
      </w:r>
      <w:r w:rsidRPr="002E4F47">
        <w:t>). The solid red line indicates the EPA fish tissue methylmercury criterion value (300 ng g</w:t>
      </w:r>
      <w:r w:rsidRPr="002E4F47">
        <w:rPr>
          <w:vertAlign w:val="superscript"/>
        </w:rPr>
        <w:t>-1</w:t>
      </w:r>
      <w:r w:rsidRPr="002E4F47">
        <w:t xml:space="preserve"> </w:t>
      </w:r>
      <w:proofErr w:type="spellStart"/>
      <w:r w:rsidRPr="002E4F47">
        <w:t>w</w:t>
      </w:r>
      <w:r w:rsidR="008760F1">
        <w:t>m</w:t>
      </w:r>
      <w:proofErr w:type="spellEnd"/>
      <w:r w:rsidRPr="002E4F47">
        <w:t>) while the dotted red line indicates the EPA recommendation for subsistence intake (50 ng g</w:t>
      </w:r>
      <w:r w:rsidRPr="002E4F47">
        <w:rPr>
          <w:vertAlign w:val="superscript"/>
        </w:rPr>
        <w:t>-1</w:t>
      </w:r>
      <w:r w:rsidRPr="002E4F47">
        <w:t xml:space="preserve"> </w:t>
      </w:r>
      <w:proofErr w:type="spellStart"/>
      <w:r w:rsidRPr="002E4F47">
        <w:t>w</w:t>
      </w:r>
      <w:r w:rsidR="008760F1">
        <w:t>m</w:t>
      </w:r>
      <w:proofErr w:type="spellEnd"/>
      <w:r w:rsidRPr="002E4F47">
        <w:t xml:space="preserve">).  Letters denote significant differences (Tukey’s HSD </w:t>
      </w:r>
      <w:r w:rsidRPr="002E4F47">
        <w:rPr>
          <w:i/>
          <w:iCs/>
        </w:rPr>
        <w:t>p</w:t>
      </w:r>
      <w:r w:rsidRPr="002E4F47">
        <w:t xml:space="preserve">&lt;0.05) in fish mercury concentrations between species within each park. </w:t>
      </w:r>
    </w:p>
    <w:p w14:paraId="6AAFA421" w14:textId="77777777" w:rsidR="004A6E95" w:rsidRDefault="004A6E95" w:rsidP="004A6E95">
      <w:pPr>
        <w:spacing w:line="480" w:lineRule="auto"/>
      </w:pPr>
    </w:p>
    <w:p w14:paraId="6153CA18" w14:textId="77777777" w:rsidR="004A6E95" w:rsidRPr="00440D0E" w:rsidRDefault="004A6E95" w:rsidP="004A6E95">
      <w:pPr>
        <w:spacing w:line="480" w:lineRule="auto"/>
      </w:pPr>
    </w:p>
    <w:p w14:paraId="2389797E" w14:textId="70159606" w:rsidR="00980CCD" w:rsidRDefault="00980CCD">
      <w:pPr>
        <w:rPr>
          <w:b/>
          <w:bCs/>
        </w:rPr>
      </w:pPr>
      <w:r>
        <w:rPr>
          <w:b/>
          <w:bCs/>
        </w:rPr>
        <w:br w:type="page"/>
      </w:r>
    </w:p>
    <w:p w14:paraId="05ECBF31" w14:textId="1B263344" w:rsidR="00980CCD" w:rsidRDefault="00980CCD" w:rsidP="00980CCD">
      <w:pPr>
        <w:spacing w:before="240" w:line="480" w:lineRule="auto"/>
      </w:pPr>
      <w:r>
        <w:rPr>
          <w:b/>
          <w:bCs/>
        </w:rPr>
        <w:lastRenderedPageBreak/>
        <w:t xml:space="preserve">Supplemental Data 1: </w:t>
      </w:r>
      <w:r w:rsidRPr="004539CE">
        <w:t>Chiapella_HgDataLakes_forRcode_LO.csv</w:t>
      </w:r>
    </w:p>
    <w:p w14:paraId="666F6582" w14:textId="77777777" w:rsidR="00980CCD" w:rsidRDefault="00980CCD" w:rsidP="00980CCD">
      <w:pPr>
        <w:spacing w:before="240" w:line="480" w:lineRule="auto"/>
      </w:pPr>
      <w:r>
        <w:rPr>
          <w:b/>
          <w:bCs/>
        </w:rPr>
        <w:t xml:space="preserve">Supplemental Data 2: </w:t>
      </w:r>
      <w:r w:rsidRPr="004539CE">
        <w:t>Chiapella_HgDataFishInverts_forRcode_LO.csv</w:t>
      </w:r>
    </w:p>
    <w:p w14:paraId="5A961A98" w14:textId="77777777" w:rsidR="00980CCD" w:rsidRDefault="00980CCD" w:rsidP="00980CCD">
      <w:pPr>
        <w:spacing w:before="240" w:line="480" w:lineRule="auto"/>
      </w:pPr>
      <w:r>
        <w:rPr>
          <w:b/>
          <w:bCs/>
        </w:rPr>
        <w:t xml:space="preserve">Supplemental Data 3: </w:t>
      </w:r>
      <w:r w:rsidRPr="004539CE">
        <w:t>Chiapella_Hg_ModelList_LO.pdf</w:t>
      </w:r>
    </w:p>
    <w:p w14:paraId="4B872869" w14:textId="77777777" w:rsidR="00980CCD" w:rsidRPr="002F3E49" w:rsidRDefault="00980CCD" w:rsidP="00980CCD">
      <w:pPr>
        <w:spacing w:before="240" w:line="480" w:lineRule="auto"/>
      </w:pPr>
      <w:r>
        <w:rPr>
          <w:b/>
          <w:bCs/>
        </w:rPr>
        <w:t xml:space="preserve">Supplemental Data 4: </w:t>
      </w:r>
      <w:proofErr w:type="spellStart"/>
      <w:r>
        <w:t>Chiapella_Hg_LO_Rcode.R</w:t>
      </w:r>
      <w:proofErr w:type="spellEnd"/>
    </w:p>
    <w:p w14:paraId="662DCBB5" w14:textId="77777777" w:rsidR="00980CCD" w:rsidRPr="00980CCD" w:rsidRDefault="00980CCD"/>
    <w:sectPr w:rsidR="00980CCD" w:rsidRPr="00980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CCD"/>
    <w:rsid w:val="0005374A"/>
    <w:rsid w:val="00176ADD"/>
    <w:rsid w:val="004A6E95"/>
    <w:rsid w:val="00715754"/>
    <w:rsid w:val="008760F1"/>
    <w:rsid w:val="00980CCD"/>
    <w:rsid w:val="00AC4028"/>
    <w:rsid w:val="00BE3C94"/>
    <w:rsid w:val="00FF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20EB5B"/>
  <w15:chartTrackingRefBased/>
  <w15:docId w15:val="{891B156B-6904-7745-A7DD-EE6B52FB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0CC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60F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0F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Ariana Chiapella</dc:creator>
  <cp:keywords/>
  <dc:description/>
  <cp:lastModifiedBy>Ariana Chiapella</cp:lastModifiedBy>
  <cp:revision>5</cp:revision>
  <dcterms:created xsi:type="dcterms:W3CDTF">2020-12-01T18:10:00Z</dcterms:created>
  <dcterms:modified xsi:type="dcterms:W3CDTF">2020-12-02T17:29:00Z</dcterms:modified>
</cp:coreProperties>
</file>